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5366" w14:textId="77777777" w:rsidR="002C5989" w:rsidRPr="00F23FE8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F23FE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04FB1046" w14:textId="7EB0FDA3" w:rsidR="009C6564" w:rsidRPr="00F23FE8" w:rsidRDefault="00F23FE8" w:rsidP="002C5989">
      <w:pPr>
        <w:pStyle w:val="Heading1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3835A5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3835A5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52.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Poslovnika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(„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Službeni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glasnik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9E6823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66/20)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reviziju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svojoj</w:t>
      </w:r>
      <w:r w:rsidR="00A82BAF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Drugoj</w:t>
      </w:r>
      <w:r w:rsidR="00FB627B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FB627B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13. </w:t>
      </w:r>
      <w:r>
        <w:rPr>
          <w:rFonts w:asciiTheme="majorHAnsi" w:hAnsiTheme="majorHAnsi"/>
          <w:noProof/>
          <w:sz w:val="24"/>
          <w:szCs w:val="24"/>
          <w:lang w:val="sr-Latn-CS"/>
        </w:rPr>
        <w:t>marta</w:t>
      </w:r>
      <w:r w:rsidR="00FB627B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2C5989" w:rsidRPr="00F23FE8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usvojio</w:t>
      </w:r>
    </w:p>
    <w:p w14:paraId="6B912A94" w14:textId="77777777" w:rsidR="002C5989" w:rsidRPr="00F23FE8" w:rsidRDefault="002C5989" w:rsidP="00567E69">
      <w:pPr>
        <w:ind w:firstLine="720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2EABF0B9" w14:textId="0E870965" w:rsidR="00567E69" w:rsidRPr="00F23FE8" w:rsidRDefault="00F23FE8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</w:t>
      </w:r>
    </w:p>
    <w:p w14:paraId="153EB1E4" w14:textId="475C4088" w:rsidR="00567E69" w:rsidRPr="00F23FE8" w:rsidRDefault="00F23FE8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sa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Prve</w:t>
      </w:r>
      <w:r w:rsidR="00736980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sjednice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  <w:r w:rsidR="00F91117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održane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5989" w:rsidRPr="00F23FE8">
        <w:rPr>
          <w:rFonts w:ascii="Cambria" w:hAnsi="Cambria"/>
          <w:b/>
          <w:noProof/>
          <w:sz w:val="24"/>
          <w:szCs w:val="24"/>
          <w:lang w:val="sr-Latn-CS"/>
        </w:rPr>
        <w:t>8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>.</w:t>
      </w:r>
      <w:r w:rsidR="00FB627B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februara</w:t>
      </w:r>
      <w:r w:rsidR="00FB627B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>20</w:t>
      </w:r>
      <w:r w:rsidR="00000A8C" w:rsidRPr="00F23FE8">
        <w:rPr>
          <w:rFonts w:ascii="Cambria" w:hAnsi="Cambria"/>
          <w:b/>
          <w:noProof/>
          <w:sz w:val="24"/>
          <w:szCs w:val="24"/>
          <w:lang w:val="sr-Latn-CS"/>
        </w:rPr>
        <w:t>2</w:t>
      </w:r>
      <w:r w:rsidR="002C5989" w:rsidRPr="00F23FE8">
        <w:rPr>
          <w:rFonts w:ascii="Cambria" w:hAnsi="Cambria"/>
          <w:b/>
          <w:noProof/>
          <w:sz w:val="24"/>
          <w:szCs w:val="24"/>
          <w:lang w:val="sr-Latn-CS"/>
        </w:rPr>
        <w:t>3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godine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213B32A6" w14:textId="77777777" w:rsidR="00567E69" w:rsidRPr="00F23FE8" w:rsidRDefault="00567E69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12D455" w14:textId="3CE6DF2B" w:rsidR="00567E69" w:rsidRPr="00F23FE8" w:rsidRDefault="00F23FE8" w:rsidP="00567E6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>9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2868AC67" w14:textId="1A9B4967" w:rsidR="00AF7CA1" w:rsidRPr="00F23FE8" w:rsidRDefault="00F23FE8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Todorović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stigao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9.20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>)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4FE92FDF" w:rsidR="00567E69" w:rsidRPr="00F23FE8" w:rsidRDefault="00F23FE8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prisustvovo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22183F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12E46078" w:rsidR="00A82BAF" w:rsidRPr="00F23FE8" w:rsidRDefault="00F23FE8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Takođe</w:t>
      </w:r>
      <w:r w:rsidR="00770C7A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prisustvovao</w:t>
      </w:r>
      <w:r w:rsidR="00770C7A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3698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54DEE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A645D68" w14:textId="7BF01ADC" w:rsidR="00DA71F0" w:rsidRPr="00F23FE8" w:rsidRDefault="00F23FE8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početku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prisustne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zahtjevom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odobravanje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uputili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Centri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civilnih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obrazloženjem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postupak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odobrenja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akreditacije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čega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obratili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zahtjevom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odobrio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njihovom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predstavniku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Željku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Ninkoviću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05254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22183F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7605AEF" w14:textId="5514B6BA" w:rsidR="00567E69" w:rsidRPr="00F23FE8" w:rsidRDefault="00F23FE8" w:rsidP="00567E6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468D8247" w14:textId="77777777" w:rsidR="00AF7CA1" w:rsidRPr="00F23FE8" w:rsidRDefault="00AF7CA1" w:rsidP="00567E6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EB18C69" w14:textId="50F08F50" w:rsidR="002C5989" w:rsidRPr="00F23FE8" w:rsidRDefault="00F23FE8" w:rsidP="002C5989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2C598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</w:p>
    <w:p w14:paraId="1C645789" w14:textId="77777777" w:rsidR="002C5989" w:rsidRPr="00F23FE8" w:rsidRDefault="002C5989" w:rsidP="002C59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07EEFDF" w14:textId="02C075A1" w:rsidR="002C5989" w:rsidRPr="00F23FE8" w:rsidRDefault="002C5989" w:rsidP="002C59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1. </w:t>
      </w:r>
      <w:r w:rsidR="00F23FE8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revizij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e </w:t>
      </w:r>
      <w:r w:rsidR="00F23FE8">
        <w:rPr>
          <w:rFonts w:ascii="Cambria" w:hAnsi="Cambria"/>
          <w:noProof/>
          <w:sz w:val="24"/>
          <w:szCs w:val="24"/>
          <w:lang w:val="sr-Latn-CS"/>
        </w:rPr>
        <w:t>učinka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23FE8">
        <w:rPr>
          <w:rFonts w:ascii="Cambria" w:hAnsi="Cambria"/>
          <w:noProof/>
          <w:sz w:val="24"/>
          <w:szCs w:val="24"/>
          <w:lang w:val="sr-Latn-CS"/>
        </w:rPr>
        <w:t>dostavljenih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F23FE8">
        <w:rPr>
          <w:rFonts w:ascii="Cambria" w:hAnsi="Cambria"/>
          <w:noProof/>
          <w:sz w:val="24"/>
          <w:szCs w:val="24"/>
          <w:lang w:val="sr-Latn-CS"/>
        </w:rPr>
        <w:t>godini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: </w:t>
      </w:r>
    </w:p>
    <w:p w14:paraId="30C51455" w14:textId="06021F75" w:rsidR="002C5989" w:rsidRPr="00F23FE8" w:rsidRDefault="002C5989" w:rsidP="002C5989">
      <w:pPr>
        <w:ind w:left="720"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1.1. </w:t>
      </w:r>
      <w:r w:rsidR="00F23FE8">
        <w:rPr>
          <w:rFonts w:ascii="Cambria" w:hAnsi="Cambria"/>
          <w:noProof/>
          <w:sz w:val="24"/>
          <w:szCs w:val="24"/>
          <w:lang w:val="sr-Latn-CS"/>
        </w:rPr>
        <w:t>Izvještaj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revizije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učinka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broj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RU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002-21 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„</w:t>
      </w:r>
      <w:r w:rsidR="00F23FE8">
        <w:rPr>
          <w:rFonts w:ascii="Cambria" w:hAnsi="Cambria"/>
          <w:noProof/>
          <w:sz w:val="24"/>
          <w:szCs w:val="24"/>
          <w:lang w:val="sr-Latn-CS"/>
        </w:rPr>
        <w:t>Pronatalitetne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mjere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jedinicama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lokalne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samouprave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23FE8">
        <w:rPr>
          <w:rFonts w:ascii="Cambria" w:hAnsi="Cambria"/>
          <w:noProof/>
          <w:sz w:val="24"/>
          <w:szCs w:val="24"/>
          <w:lang w:val="sr-Latn-CS"/>
        </w:rPr>
        <w:t>";</w:t>
      </w:r>
    </w:p>
    <w:p w14:paraId="13A9BDF3" w14:textId="006208A2" w:rsidR="002C5989" w:rsidRPr="00F23FE8" w:rsidRDefault="002C5989" w:rsidP="002C5989">
      <w:pPr>
        <w:ind w:left="720"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1.2. </w:t>
      </w:r>
      <w:r w:rsidR="00F23FE8">
        <w:rPr>
          <w:rFonts w:ascii="Cambria" w:hAnsi="Cambria"/>
          <w:noProof/>
          <w:sz w:val="24"/>
          <w:szCs w:val="24"/>
          <w:lang w:val="sr-Latn-CS"/>
        </w:rPr>
        <w:t>Izvještaj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revizije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učinka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broj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RU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006-21 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„</w:t>
      </w:r>
      <w:r w:rsidR="00F23FE8">
        <w:rPr>
          <w:rFonts w:ascii="Cambria" w:hAnsi="Cambria"/>
          <w:noProof/>
          <w:sz w:val="24"/>
          <w:szCs w:val="24"/>
          <w:lang w:val="sr-Latn-CS"/>
        </w:rPr>
        <w:t>Zaštita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i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očuvanje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prirodnih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dobara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“</w:t>
      </w:r>
      <w:r w:rsidRPr="00F23FE8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71E8C82D" w14:textId="1C8C6B2C" w:rsidR="002C5989" w:rsidRPr="00F23FE8" w:rsidRDefault="002C5989" w:rsidP="002C59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2. </w:t>
      </w:r>
      <w:r w:rsidR="00F23FE8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Godišnjeg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plana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za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za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 w:rsidR="00F23FE8">
        <w:rPr>
          <w:rFonts w:ascii="Cambria" w:hAnsi="Cambria"/>
          <w:noProof/>
          <w:sz w:val="24"/>
          <w:szCs w:val="24"/>
          <w:lang w:val="sr-Latn-CS"/>
        </w:rPr>
        <w:t>godinu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; </w:t>
      </w:r>
    </w:p>
    <w:p w14:paraId="49A3E5C6" w14:textId="51473A43" w:rsidR="00647AD5" w:rsidRPr="00F23FE8" w:rsidRDefault="002C5989" w:rsidP="002C59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3. </w:t>
      </w:r>
      <w:r w:rsidR="00F23FE8">
        <w:rPr>
          <w:rFonts w:ascii="Cambria" w:hAnsi="Cambria"/>
          <w:noProof/>
          <w:sz w:val="24"/>
          <w:szCs w:val="24"/>
          <w:lang w:val="sr-Latn-CS"/>
        </w:rPr>
        <w:t>Tekuća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pitanja</w:t>
      </w:r>
      <w:r w:rsidRPr="00F23FE8">
        <w:rPr>
          <w:rFonts w:ascii="Cambria" w:hAnsi="Cambria"/>
          <w:noProof/>
          <w:sz w:val="24"/>
          <w:szCs w:val="24"/>
          <w:lang w:val="sr-Latn-CS"/>
        </w:rPr>
        <w:t>.</w:t>
      </w:r>
      <w:r w:rsidRPr="00F23FE8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F23FE8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18D2F1FD" w:rsidR="00736980" w:rsidRPr="00F23FE8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ab/>
      </w:r>
      <w:r w:rsidR="00F23FE8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red</w:t>
      </w:r>
      <w:r w:rsidR="0073698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F23FE8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4945CA72" w:rsidR="0058357F" w:rsidRPr="00F23FE8" w:rsidRDefault="00F23FE8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305929" w:rsidRPr="00F23FE8">
        <w:rPr>
          <w:rFonts w:ascii="Cambria" w:hAnsi="Cambria"/>
          <w:b/>
          <w:noProof/>
          <w:sz w:val="24"/>
          <w:szCs w:val="24"/>
          <w:lang w:val="sr-Latn-CS"/>
        </w:rPr>
        <w:t>1.</w:t>
      </w:r>
    </w:p>
    <w:p w14:paraId="1E9C5296" w14:textId="67CB0E46" w:rsidR="00A82BAF" w:rsidRPr="00F23FE8" w:rsidRDefault="00F23FE8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4474616D" w:rsidR="00567E69" w:rsidRPr="00F23FE8" w:rsidRDefault="00F23FE8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A82BAF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Todorović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567E69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6CC7CC5" w14:textId="10CFA8B4" w:rsidR="00323533" w:rsidRPr="00F23FE8" w:rsidRDefault="00F23FE8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Pronatalitetne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mjere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jedinicama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“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primio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323533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1E8205" w14:textId="4DAB6084" w:rsidR="00DE3E69" w:rsidRPr="00F23FE8" w:rsidRDefault="00F23FE8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akcionih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planova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subjektima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obuhvaćenim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dostavili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akcioni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19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4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. 98/05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20/14).</w:t>
      </w:r>
    </w:p>
    <w:p w14:paraId="5DDB55D3" w14:textId="77777777" w:rsidR="005277C7" w:rsidRPr="00F23FE8" w:rsidRDefault="005277C7" w:rsidP="005277C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786BB3" w14:textId="64CD3906" w:rsidR="00000A8C" w:rsidRPr="00F23FE8" w:rsidRDefault="00F23FE8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305929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1. </w:t>
      </w:r>
      <w:r w:rsidR="00064F1B" w:rsidRPr="00F23FE8">
        <w:rPr>
          <w:rFonts w:ascii="Cambria" w:hAnsi="Cambria"/>
          <w:b/>
          <w:noProof/>
          <w:sz w:val="24"/>
          <w:szCs w:val="24"/>
          <w:lang w:val="sr-Latn-CS"/>
        </w:rPr>
        <w:t>2.</w:t>
      </w:r>
      <w:r w:rsidR="00B607A5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20C88905" w14:textId="60371B69" w:rsidR="00377260" w:rsidRPr="00F23FE8" w:rsidRDefault="00B607A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="00F23FE8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dao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</w:t>
      </w:r>
      <w:r w:rsidR="007B01D5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glavni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revizor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Jovo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Radukić</w:t>
      </w:r>
      <w:r w:rsidR="00732EFC" w:rsidRPr="00F23FE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483D5A3C" w14:textId="1B77AC82" w:rsidR="00732EFC" w:rsidRPr="00F23FE8" w:rsidRDefault="00F23FE8" w:rsidP="0032353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732EFC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BB8C55" w14:textId="77235A66" w:rsidR="00377260" w:rsidRPr="00F23FE8" w:rsidRDefault="00F23FE8" w:rsidP="004E190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29092569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0"/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Zaštita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očuvanje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prirodnih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dobara</w:t>
      </w:r>
      <w:r w:rsidR="009E6823" w:rsidRPr="00F23FE8">
        <w:rPr>
          <w:rFonts w:ascii="Cambria" w:hAnsi="Cambria"/>
          <w:noProof/>
          <w:sz w:val="24"/>
          <w:szCs w:val="24"/>
          <w:lang w:val="sr-Latn-CS"/>
        </w:rPr>
        <w:t>“</w:t>
      </w:r>
      <w:r w:rsidR="00266FB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primio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631D25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037F3B" w14:textId="7A8E1726" w:rsidR="004E190E" w:rsidRPr="00F23FE8" w:rsidRDefault="00F23FE8" w:rsidP="00631D2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akcionih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planova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subjektima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obuhvaćenim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dostavili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akcioni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19</w:t>
      </w:r>
      <w:r w:rsidR="00266FB0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4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 w:rsidR="00266FB0" w:rsidRPr="00F23FE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>”</w:t>
      </w:r>
      <w:r w:rsidR="00266FB0" w:rsidRPr="00F23FE8">
        <w:rPr>
          <w:rFonts w:ascii="Cambria" w:hAnsi="Cambria"/>
          <w:noProof/>
          <w:sz w:val="24"/>
          <w:szCs w:val="24"/>
          <w:lang w:val="sr-Latn-CS"/>
        </w:rPr>
        <w:t>,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. 98/05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20/14)</w:t>
      </w:r>
      <w:r w:rsidR="004E190E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34D911" w14:textId="1308270D" w:rsidR="00786E4F" w:rsidRPr="00F23FE8" w:rsidRDefault="00F23FE8" w:rsidP="00631D2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narednoj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prva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dnevnog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Galvne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pripremiti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>.</w:t>
      </w:r>
      <w:r w:rsidR="00DE3E6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7ADB5ED5" w14:textId="53459762" w:rsidR="00786E4F" w:rsidRPr="00F23FE8" w:rsidRDefault="00786E4F" w:rsidP="00AF7C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ab/>
      </w:r>
      <w:r w:rsidR="00F23FE8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glavnog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revizora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usvojen</w:t>
      </w:r>
      <w:r w:rsidR="00266FB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</w:t>
      </w:r>
      <w:r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D21DF2" w14:textId="77777777" w:rsidR="006F226D" w:rsidRPr="00F23FE8" w:rsidRDefault="006F226D" w:rsidP="00AF7C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02ACF8" w14:textId="00638534" w:rsidR="00435165" w:rsidRPr="00F23FE8" w:rsidRDefault="00F23FE8" w:rsidP="00AF7CA1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AF7CA1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305929" w:rsidRPr="00F23FE8">
        <w:rPr>
          <w:rFonts w:ascii="Cambria" w:hAnsi="Cambria"/>
          <w:b/>
          <w:noProof/>
          <w:sz w:val="24"/>
          <w:szCs w:val="24"/>
          <w:lang w:val="sr-Latn-CS"/>
        </w:rPr>
        <w:t>2</w:t>
      </w:r>
      <w:r w:rsidR="000C73CC" w:rsidRPr="00F23FE8">
        <w:rPr>
          <w:rFonts w:ascii="Cambria" w:hAnsi="Cambria"/>
          <w:b/>
          <w:noProof/>
          <w:sz w:val="24"/>
          <w:szCs w:val="24"/>
          <w:lang w:val="sr-Latn-CS"/>
        </w:rPr>
        <w:t>.</w:t>
      </w:r>
    </w:p>
    <w:p w14:paraId="17B26C3B" w14:textId="69A6DF5E" w:rsidR="00435165" w:rsidRPr="00F23FE8" w:rsidRDefault="00F23FE8" w:rsidP="0043516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1" w:name="_Hlk127541668"/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266FB0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AF7CA1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EEC783" w14:textId="69053F63" w:rsidR="00AF1EEC" w:rsidRPr="00F23FE8" w:rsidRDefault="00F23FE8" w:rsidP="0043516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AF1EE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AF1EE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AF1EEC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68A949" w14:textId="2502980A" w:rsidR="00AD7C41" w:rsidRPr="00F23FE8" w:rsidRDefault="00F23FE8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05929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primio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330DF2" w14:textId="77777777" w:rsidR="00786E4F" w:rsidRPr="00F23FE8" w:rsidRDefault="00786E4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AAA7C6" w14:textId="7D7C587E" w:rsidR="00786E4F" w:rsidRPr="00F23FE8" w:rsidRDefault="00F23FE8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786E4F" w:rsidRPr="00F23FE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305929" w:rsidRPr="00F23FE8">
        <w:rPr>
          <w:rFonts w:ascii="Cambria" w:hAnsi="Cambria"/>
          <w:b/>
          <w:noProof/>
          <w:sz w:val="24"/>
          <w:szCs w:val="24"/>
          <w:lang w:val="sr-Latn-CS"/>
        </w:rPr>
        <w:t>3</w:t>
      </w:r>
      <w:r w:rsidR="00064F1B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6C957" w14:textId="13B89DF9" w:rsidR="00064F1B" w:rsidRPr="00F23FE8" w:rsidRDefault="00F23FE8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064F1B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76D198" w14:textId="77777777" w:rsidR="00AF1EEC" w:rsidRPr="00F23FE8" w:rsidRDefault="00AF1EEC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537689" w14:textId="2A928BB4" w:rsidR="00786E4F" w:rsidRPr="00F23FE8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3FE8">
        <w:rPr>
          <w:rFonts w:ascii="Cambria" w:hAnsi="Cambria"/>
          <w:noProof/>
          <w:sz w:val="24"/>
          <w:szCs w:val="24"/>
          <w:lang w:val="sr-Latn-CS"/>
        </w:rPr>
        <w:tab/>
      </w:r>
      <w:r w:rsidR="00F23FE8"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10.</w:t>
      </w:r>
      <w:r w:rsidR="000C73CC" w:rsidRPr="00F23FE8">
        <w:rPr>
          <w:rFonts w:ascii="Cambria" w:hAnsi="Cambria"/>
          <w:noProof/>
          <w:sz w:val="24"/>
          <w:szCs w:val="24"/>
          <w:lang w:val="sr-Latn-CS"/>
        </w:rPr>
        <w:t>05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3FE8"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F23FE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CF70FBB" w14:textId="77777777" w:rsidR="00435165" w:rsidRPr="00F23FE8" w:rsidRDefault="00435165" w:rsidP="00647A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2347FC" w14:textId="77777777" w:rsidR="00567E69" w:rsidRPr="00F23FE8" w:rsidRDefault="00567E69" w:rsidP="00567E69">
      <w:pPr>
        <w:rPr>
          <w:rFonts w:ascii="Cambria" w:hAnsi="Cambria"/>
          <w:noProof/>
          <w:sz w:val="24"/>
          <w:szCs w:val="24"/>
          <w:lang w:val="sr-Latn-C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F23FE8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F23FE8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F23FE8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79476684" w:rsidR="00567E69" w:rsidRPr="00F23FE8" w:rsidRDefault="00F23FE8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F23FE8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F23FE8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F23FE8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F23FE8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7D467615" w:rsidR="00567E69" w:rsidRPr="00F23FE8" w:rsidRDefault="00F23FE8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F23FE8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F23FE8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F23FE8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F23FE8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F23FE8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F23FE8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84F41" w14:textId="77777777" w:rsidR="00582074" w:rsidRDefault="00582074">
      <w:r>
        <w:separator/>
      </w:r>
    </w:p>
  </w:endnote>
  <w:endnote w:type="continuationSeparator" w:id="0">
    <w:p w14:paraId="4A320745" w14:textId="77777777" w:rsidR="00582074" w:rsidRDefault="0058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45C1C" w14:textId="77777777" w:rsidR="00582074" w:rsidRDefault="00582074">
      <w:r>
        <w:separator/>
      </w:r>
    </w:p>
  </w:footnote>
  <w:footnote w:type="continuationSeparator" w:id="0">
    <w:p w14:paraId="31695916" w14:textId="77777777" w:rsidR="00582074" w:rsidRDefault="00582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5"/>
  </w:num>
  <w:num w:numId="2" w16cid:durableId="756244022">
    <w:abstractNumId w:val="33"/>
  </w:num>
  <w:num w:numId="3" w16cid:durableId="464935439">
    <w:abstractNumId w:val="23"/>
  </w:num>
  <w:num w:numId="4" w16cid:durableId="1379165907">
    <w:abstractNumId w:val="22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0"/>
  </w:num>
  <w:num w:numId="8" w16cid:durableId="853105178">
    <w:abstractNumId w:val="35"/>
  </w:num>
  <w:num w:numId="9" w16cid:durableId="2040663726">
    <w:abstractNumId w:val="3"/>
  </w:num>
  <w:num w:numId="10" w16cid:durableId="1614897331">
    <w:abstractNumId w:val="20"/>
  </w:num>
  <w:num w:numId="11" w16cid:durableId="2080710080">
    <w:abstractNumId w:val="12"/>
  </w:num>
  <w:num w:numId="12" w16cid:durableId="1860120935">
    <w:abstractNumId w:val="21"/>
  </w:num>
  <w:num w:numId="13" w16cid:durableId="530849747">
    <w:abstractNumId w:val="24"/>
  </w:num>
  <w:num w:numId="14" w16cid:durableId="5181992">
    <w:abstractNumId w:val="11"/>
  </w:num>
  <w:num w:numId="15" w16cid:durableId="1790321033">
    <w:abstractNumId w:val="16"/>
  </w:num>
  <w:num w:numId="16" w16cid:durableId="2102021870">
    <w:abstractNumId w:val="4"/>
  </w:num>
  <w:num w:numId="17" w16cid:durableId="1337273341">
    <w:abstractNumId w:val="26"/>
  </w:num>
  <w:num w:numId="18" w16cid:durableId="337343062">
    <w:abstractNumId w:val="1"/>
  </w:num>
  <w:num w:numId="19" w16cid:durableId="1726487295">
    <w:abstractNumId w:val="18"/>
  </w:num>
  <w:num w:numId="20" w16cid:durableId="1165315084">
    <w:abstractNumId w:val="8"/>
  </w:num>
  <w:num w:numId="21" w16cid:durableId="2139179024">
    <w:abstractNumId w:val="31"/>
  </w:num>
  <w:num w:numId="22" w16cid:durableId="1535146734">
    <w:abstractNumId w:val="19"/>
  </w:num>
  <w:num w:numId="23" w16cid:durableId="796602518">
    <w:abstractNumId w:val="0"/>
  </w:num>
  <w:num w:numId="24" w16cid:durableId="2008436434">
    <w:abstractNumId w:val="13"/>
  </w:num>
  <w:num w:numId="25" w16cid:durableId="2097287735">
    <w:abstractNumId w:val="27"/>
  </w:num>
  <w:num w:numId="26" w16cid:durableId="353116781">
    <w:abstractNumId w:val="28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2"/>
  </w:num>
  <w:num w:numId="32" w16cid:durableId="815218927">
    <w:abstractNumId w:val="14"/>
  </w:num>
  <w:num w:numId="33" w16cid:durableId="179199686">
    <w:abstractNumId w:val="17"/>
  </w:num>
  <w:num w:numId="34" w16cid:durableId="1131630313">
    <w:abstractNumId w:val="29"/>
  </w:num>
  <w:num w:numId="35" w16cid:durableId="2064015313">
    <w:abstractNumId w:val="36"/>
  </w:num>
  <w:num w:numId="36" w16cid:durableId="520510641">
    <w:abstractNumId w:val="34"/>
  </w:num>
  <w:num w:numId="37" w16cid:durableId="319122742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4AD6"/>
    <w:rsid w:val="00036003"/>
    <w:rsid w:val="0004120B"/>
    <w:rsid w:val="000517E5"/>
    <w:rsid w:val="00052E29"/>
    <w:rsid w:val="00056B1E"/>
    <w:rsid w:val="0006168D"/>
    <w:rsid w:val="000647B8"/>
    <w:rsid w:val="00064F1B"/>
    <w:rsid w:val="000715D5"/>
    <w:rsid w:val="000C73CC"/>
    <w:rsid w:val="000F1B17"/>
    <w:rsid w:val="0012593C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2183F"/>
    <w:rsid w:val="00226C02"/>
    <w:rsid w:val="002270B8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7527"/>
    <w:rsid w:val="00397C3B"/>
    <w:rsid w:val="003B72E9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72C38"/>
    <w:rsid w:val="0048744B"/>
    <w:rsid w:val="00494719"/>
    <w:rsid w:val="00497EB1"/>
    <w:rsid w:val="004B01A2"/>
    <w:rsid w:val="004B49F2"/>
    <w:rsid w:val="004C21D5"/>
    <w:rsid w:val="004D23D5"/>
    <w:rsid w:val="004E190E"/>
    <w:rsid w:val="004E4578"/>
    <w:rsid w:val="004F42EC"/>
    <w:rsid w:val="004F6B2F"/>
    <w:rsid w:val="00500BA9"/>
    <w:rsid w:val="00507196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2074"/>
    <w:rsid w:val="0058357F"/>
    <w:rsid w:val="00595AA5"/>
    <w:rsid w:val="005A0B97"/>
    <w:rsid w:val="005A48C2"/>
    <w:rsid w:val="005D3176"/>
    <w:rsid w:val="005F2D75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D30DF"/>
    <w:rsid w:val="006F226D"/>
    <w:rsid w:val="007004B8"/>
    <w:rsid w:val="00707144"/>
    <w:rsid w:val="00707698"/>
    <w:rsid w:val="00717046"/>
    <w:rsid w:val="00722342"/>
    <w:rsid w:val="007229F0"/>
    <w:rsid w:val="0073022B"/>
    <w:rsid w:val="00732EFC"/>
    <w:rsid w:val="00736980"/>
    <w:rsid w:val="00762CED"/>
    <w:rsid w:val="00766513"/>
    <w:rsid w:val="00770C7A"/>
    <w:rsid w:val="007766D1"/>
    <w:rsid w:val="00786E4F"/>
    <w:rsid w:val="00797FBE"/>
    <w:rsid w:val="007A0317"/>
    <w:rsid w:val="007A2CC7"/>
    <w:rsid w:val="007B01D5"/>
    <w:rsid w:val="007B5979"/>
    <w:rsid w:val="007B7ACE"/>
    <w:rsid w:val="007D6407"/>
    <w:rsid w:val="007E6812"/>
    <w:rsid w:val="007F783A"/>
    <w:rsid w:val="00816468"/>
    <w:rsid w:val="008246F1"/>
    <w:rsid w:val="0083559E"/>
    <w:rsid w:val="00835C9B"/>
    <w:rsid w:val="00847574"/>
    <w:rsid w:val="008B2337"/>
    <w:rsid w:val="008B33C1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720A"/>
    <w:rsid w:val="00955085"/>
    <w:rsid w:val="00970485"/>
    <w:rsid w:val="009756DD"/>
    <w:rsid w:val="00975DB2"/>
    <w:rsid w:val="009806DB"/>
    <w:rsid w:val="00981E29"/>
    <w:rsid w:val="00991677"/>
    <w:rsid w:val="00992787"/>
    <w:rsid w:val="009C384E"/>
    <w:rsid w:val="009C6564"/>
    <w:rsid w:val="009D45EF"/>
    <w:rsid w:val="009D6288"/>
    <w:rsid w:val="009E6823"/>
    <w:rsid w:val="009F20CE"/>
    <w:rsid w:val="009F3D68"/>
    <w:rsid w:val="00A42D3E"/>
    <w:rsid w:val="00A4685D"/>
    <w:rsid w:val="00A51BF4"/>
    <w:rsid w:val="00A57B26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458F5"/>
    <w:rsid w:val="00C713CF"/>
    <w:rsid w:val="00CB233A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6359"/>
    <w:rsid w:val="00DA5139"/>
    <w:rsid w:val="00DA71F0"/>
    <w:rsid w:val="00DB4BD8"/>
    <w:rsid w:val="00DE1195"/>
    <w:rsid w:val="00DE3E69"/>
    <w:rsid w:val="00E23B28"/>
    <w:rsid w:val="00E33359"/>
    <w:rsid w:val="00E511E5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23FE8"/>
    <w:rsid w:val="00F64082"/>
    <w:rsid w:val="00F7363B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3</cp:revision>
  <cp:lastPrinted>2019-11-26T19:11:00Z</cp:lastPrinted>
  <dcterms:created xsi:type="dcterms:W3CDTF">2023-03-08T07:48:00Z</dcterms:created>
  <dcterms:modified xsi:type="dcterms:W3CDTF">2023-03-15T14:57:00Z</dcterms:modified>
</cp:coreProperties>
</file>